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52" w:rsidRDefault="00F95D52" w:rsidP="00F95D52"/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236"/>
        <w:gridCol w:w="1465"/>
        <w:gridCol w:w="2221"/>
        <w:gridCol w:w="5150"/>
      </w:tblGrid>
      <w:tr w:rsidR="00F95D52" w:rsidRPr="005F5BB9" w:rsidTr="00DA4CF1"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5D52" w:rsidRPr="005171E8" w:rsidRDefault="00F95D52" w:rsidP="00AF2BA9">
            <w:pPr>
              <w:rPr>
                <w:sz w:val="28"/>
                <w:szCs w:val="28"/>
              </w:rPr>
            </w:pPr>
            <w:r w:rsidRPr="005171E8">
              <w:rPr>
                <w:sz w:val="24"/>
                <w:szCs w:val="24"/>
              </w:rPr>
              <w:t xml:space="preserve">No: </w:t>
            </w:r>
          </w:p>
        </w:tc>
        <w:tc>
          <w:tcPr>
            <w:tcW w:w="7371" w:type="dxa"/>
            <w:gridSpan w:val="2"/>
          </w:tcPr>
          <w:p w:rsidR="00F95D52" w:rsidRPr="00F95D52" w:rsidRDefault="00F95D52" w:rsidP="00F95D52">
            <w:pPr>
              <w:pStyle w:val="Heading2"/>
              <w:spacing w:before="120" w:after="120" w:line="240" w:lineRule="auto"/>
              <w:outlineLvl w:val="1"/>
            </w:pPr>
            <w:r w:rsidRPr="005171E8">
              <w:rPr>
                <w:sz w:val="24"/>
                <w:szCs w:val="24"/>
              </w:rPr>
              <w:t xml:space="preserve">Name: </w:t>
            </w:r>
            <w:r w:rsidR="00A609D5" w:rsidRPr="005920F7">
              <w:rPr>
                <w:rStyle w:val="Heading2Char"/>
              </w:rPr>
              <w:t>EMPLOYMENT - EQUAL OPPORTUNITY POLICY</w:t>
            </w:r>
            <w:r w:rsidR="0057581A">
              <w:rPr>
                <w:rStyle w:val="Heading2Char"/>
              </w:rPr>
              <w:t xml:space="preserve"> - volunteers</w:t>
            </w:r>
          </w:p>
        </w:tc>
      </w:tr>
      <w:tr w:rsidR="00F95D52" w:rsidTr="00DA4CF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D52" w:rsidRDefault="00F95D52" w:rsidP="00AF2BA9"/>
        </w:tc>
        <w:tc>
          <w:tcPr>
            <w:tcW w:w="1465" w:type="dxa"/>
            <w:tcBorders>
              <w:left w:val="nil"/>
              <w:bottom w:val="nil"/>
            </w:tcBorders>
          </w:tcPr>
          <w:p w:rsidR="00F95D52" w:rsidRDefault="00F95D52" w:rsidP="00AF2BA9"/>
        </w:tc>
        <w:tc>
          <w:tcPr>
            <w:tcW w:w="2221" w:type="dxa"/>
          </w:tcPr>
          <w:p w:rsidR="00F95D52" w:rsidRPr="005F5BB9" w:rsidRDefault="00F95D52" w:rsidP="00AF2BA9">
            <w:pPr>
              <w:rPr>
                <w:sz w:val="20"/>
              </w:rPr>
            </w:pPr>
            <w:r w:rsidRPr="005F5BB9">
              <w:rPr>
                <w:sz w:val="20"/>
              </w:rPr>
              <w:t xml:space="preserve">Ratified </w:t>
            </w:r>
          </w:p>
        </w:tc>
        <w:tc>
          <w:tcPr>
            <w:tcW w:w="5150" w:type="dxa"/>
          </w:tcPr>
          <w:p w:rsidR="00F95D52" w:rsidRPr="005F5BB9" w:rsidRDefault="00F95D52" w:rsidP="00AF2BA9">
            <w:pPr>
              <w:rPr>
                <w:sz w:val="20"/>
              </w:rPr>
            </w:pPr>
          </w:p>
        </w:tc>
      </w:tr>
      <w:tr w:rsidR="00FA2B27" w:rsidTr="00DA4CF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2B27" w:rsidRDefault="00FA2B27" w:rsidP="00AF2BA9"/>
        </w:tc>
        <w:tc>
          <w:tcPr>
            <w:tcW w:w="1465" w:type="dxa"/>
            <w:tcBorders>
              <w:top w:val="nil"/>
              <w:left w:val="nil"/>
              <w:bottom w:val="nil"/>
            </w:tcBorders>
          </w:tcPr>
          <w:p w:rsidR="00FA2B27" w:rsidRDefault="00FA2B27" w:rsidP="00AF2BA9"/>
        </w:tc>
        <w:tc>
          <w:tcPr>
            <w:tcW w:w="2221" w:type="dxa"/>
          </w:tcPr>
          <w:p w:rsidR="00FA2B27" w:rsidRPr="005F5BB9" w:rsidRDefault="00FA2B27" w:rsidP="00AF2BA9">
            <w:pPr>
              <w:rPr>
                <w:sz w:val="20"/>
              </w:rPr>
            </w:pPr>
            <w:r>
              <w:rPr>
                <w:sz w:val="20"/>
              </w:rPr>
              <w:t>Reviewed and Updated</w:t>
            </w:r>
          </w:p>
        </w:tc>
        <w:tc>
          <w:tcPr>
            <w:tcW w:w="5150" w:type="dxa"/>
          </w:tcPr>
          <w:p w:rsidR="00FA2B27" w:rsidRPr="005F5BB9" w:rsidRDefault="00FA2B27" w:rsidP="00AF2BA9">
            <w:pPr>
              <w:rPr>
                <w:sz w:val="20"/>
              </w:rPr>
            </w:pPr>
          </w:p>
        </w:tc>
      </w:tr>
      <w:tr w:rsidR="00F95D52" w:rsidTr="00DA4CF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D52" w:rsidRDefault="00F95D52" w:rsidP="00AF2BA9"/>
        </w:tc>
        <w:tc>
          <w:tcPr>
            <w:tcW w:w="1465" w:type="dxa"/>
            <w:tcBorders>
              <w:top w:val="nil"/>
              <w:left w:val="nil"/>
              <w:bottom w:val="nil"/>
            </w:tcBorders>
          </w:tcPr>
          <w:p w:rsidR="00F95D52" w:rsidRDefault="00F95D52" w:rsidP="00AF2BA9"/>
        </w:tc>
        <w:tc>
          <w:tcPr>
            <w:tcW w:w="2221" w:type="dxa"/>
          </w:tcPr>
          <w:p w:rsidR="00F95D52" w:rsidRPr="005F5BB9" w:rsidRDefault="00FA2B27" w:rsidP="00AF2BA9">
            <w:pPr>
              <w:rPr>
                <w:sz w:val="20"/>
              </w:rPr>
            </w:pPr>
            <w:r>
              <w:rPr>
                <w:sz w:val="20"/>
              </w:rPr>
              <w:t>Next Review</w:t>
            </w:r>
          </w:p>
        </w:tc>
        <w:tc>
          <w:tcPr>
            <w:tcW w:w="5150" w:type="dxa"/>
          </w:tcPr>
          <w:p w:rsidR="00F95D52" w:rsidRPr="005F5BB9" w:rsidRDefault="00F95D52" w:rsidP="00AF2BA9">
            <w:pPr>
              <w:rPr>
                <w:sz w:val="20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</w:tblGrid>
      <w:tr w:rsidR="00F95D52" w:rsidTr="00AF2BA9">
        <w:trPr>
          <w:trHeight w:val="167"/>
        </w:trPr>
        <w:tc>
          <w:tcPr>
            <w:tcW w:w="3192" w:type="dxa"/>
          </w:tcPr>
          <w:p w:rsidR="00F95D52" w:rsidRDefault="00F95D52" w:rsidP="00AF2B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F95D52" w:rsidRDefault="00F95D52" w:rsidP="00AF2BA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609D5" w:rsidRPr="009504B1" w:rsidRDefault="00A609D5" w:rsidP="00A609D5">
      <w:pPr>
        <w:rPr>
          <w:b/>
          <w:bCs w:val="0"/>
          <w:sz w:val="18"/>
        </w:rPr>
      </w:pPr>
    </w:p>
    <w:p w:rsidR="00A609D5" w:rsidRPr="009251F5" w:rsidRDefault="00A609D5" w:rsidP="00A609D5">
      <w:pPr>
        <w:rPr>
          <w:rFonts w:ascii="Arial" w:hAnsi="Arial"/>
          <w:b/>
          <w:bCs w:val="0"/>
          <w:sz w:val="18"/>
        </w:rPr>
      </w:pPr>
    </w:p>
    <w:p w:rsidR="00A609D5" w:rsidRPr="005920F7" w:rsidRDefault="00A609D5" w:rsidP="00A609D5">
      <w:pPr>
        <w:rPr>
          <w:rFonts w:asciiTheme="minorHAnsi" w:hAnsiTheme="minorHAnsi"/>
          <w:spacing w:val="-3"/>
          <w:szCs w:val="22"/>
        </w:rPr>
      </w:pPr>
      <w:r w:rsidRPr="005920F7">
        <w:rPr>
          <w:rFonts w:asciiTheme="minorHAnsi" w:hAnsiTheme="minorHAnsi"/>
          <w:b/>
          <w:szCs w:val="22"/>
        </w:rPr>
        <w:t>PHILOSOPHY</w:t>
      </w:r>
    </w:p>
    <w:p w:rsidR="00A609D5" w:rsidRPr="005920F7" w:rsidRDefault="0057581A" w:rsidP="00A609D5">
      <w:pPr>
        <w:numPr>
          <w:ilvl w:val="12"/>
          <w:numId w:val="0"/>
        </w:numPr>
        <w:tabs>
          <w:tab w:val="left" w:pos="-720"/>
          <w:tab w:val="left" w:pos="851"/>
          <w:tab w:val="right" w:leader="dot" w:pos="4175"/>
        </w:tabs>
        <w:suppressAutoHyphens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XXXX </w:t>
      </w:r>
      <w:proofErr w:type="spellStart"/>
      <w:r>
        <w:rPr>
          <w:rFonts w:asciiTheme="minorHAnsi" w:hAnsiTheme="minorHAnsi"/>
          <w:szCs w:val="22"/>
        </w:rPr>
        <w:t>Neighbourhood</w:t>
      </w:r>
      <w:proofErr w:type="spellEnd"/>
      <w:r>
        <w:rPr>
          <w:rFonts w:asciiTheme="minorHAnsi" w:hAnsiTheme="minorHAnsi"/>
          <w:szCs w:val="22"/>
        </w:rPr>
        <w:t xml:space="preserve"> House </w:t>
      </w:r>
      <w:r w:rsidR="00A609D5" w:rsidRPr="005920F7">
        <w:rPr>
          <w:rFonts w:asciiTheme="minorHAnsi" w:hAnsiTheme="minorHAnsi"/>
          <w:szCs w:val="22"/>
        </w:rPr>
        <w:t xml:space="preserve">has a commitment to the principles of equal opportunity. We believe that people have the right to participate fully in the community without being subjected to discrimination, </w:t>
      </w:r>
      <w:proofErr w:type="spellStart"/>
      <w:r w:rsidR="00A609D5" w:rsidRPr="005920F7">
        <w:rPr>
          <w:rFonts w:asciiTheme="minorHAnsi" w:hAnsiTheme="minorHAnsi"/>
          <w:szCs w:val="22"/>
        </w:rPr>
        <w:t>stigmatisation</w:t>
      </w:r>
      <w:proofErr w:type="spellEnd"/>
      <w:r w:rsidR="00A609D5" w:rsidRPr="005920F7">
        <w:rPr>
          <w:rFonts w:asciiTheme="minorHAnsi" w:hAnsiTheme="minorHAnsi"/>
          <w:szCs w:val="22"/>
        </w:rPr>
        <w:t xml:space="preserve"> or prejudice. We believe that equitable service delivery and employment policies and practices are essential to uphold the </w:t>
      </w:r>
      <w:r>
        <w:rPr>
          <w:rFonts w:asciiTheme="minorHAnsi" w:hAnsiTheme="minorHAnsi"/>
          <w:szCs w:val="22"/>
        </w:rPr>
        <w:t xml:space="preserve">philosophy and aims of the XXXX </w:t>
      </w:r>
      <w:proofErr w:type="spellStart"/>
      <w:r>
        <w:rPr>
          <w:rFonts w:asciiTheme="minorHAnsi" w:hAnsiTheme="minorHAnsi"/>
          <w:szCs w:val="22"/>
        </w:rPr>
        <w:t>Neighbourhood</w:t>
      </w:r>
      <w:proofErr w:type="spellEnd"/>
      <w:r>
        <w:rPr>
          <w:rFonts w:asciiTheme="minorHAnsi" w:hAnsiTheme="minorHAnsi"/>
          <w:szCs w:val="22"/>
        </w:rPr>
        <w:t xml:space="preserve"> House.</w:t>
      </w:r>
      <w:r w:rsidR="00A609D5" w:rsidRPr="005920F7">
        <w:rPr>
          <w:rFonts w:asciiTheme="minorHAnsi" w:hAnsiTheme="minorHAnsi"/>
          <w:szCs w:val="22"/>
        </w:rPr>
        <w:t xml:space="preserve">  </w:t>
      </w: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 w:rsidRPr="005920F7">
        <w:rPr>
          <w:rFonts w:asciiTheme="minorHAnsi" w:hAnsiTheme="minorHAnsi"/>
          <w:szCs w:val="22"/>
        </w:rPr>
        <w:t xml:space="preserve"> </w:t>
      </w: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 w:rsidRPr="005920F7">
        <w:rPr>
          <w:rFonts w:asciiTheme="minorHAnsi" w:hAnsiTheme="minorHAnsi"/>
          <w:szCs w:val="22"/>
        </w:rPr>
        <w:t xml:space="preserve">The support of everyone involved with the </w:t>
      </w:r>
      <w:r w:rsidR="0057581A">
        <w:rPr>
          <w:rFonts w:asciiTheme="minorHAnsi" w:hAnsiTheme="minorHAnsi"/>
          <w:szCs w:val="22"/>
        </w:rPr>
        <w:t xml:space="preserve">XXXX </w:t>
      </w:r>
      <w:proofErr w:type="spellStart"/>
      <w:r w:rsidR="0057581A">
        <w:rPr>
          <w:rFonts w:asciiTheme="minorHAnsi" w:hAnsiTheme="minorHAnsi"/>
          <w:szCs w:val="22"/>
        </w:rPr>
        <w:t>Neighbourhood</w:t>
      </w:r>
      <w:proofErr w:type="spellEnd"/>
      <w:r w:rsidR="0057581A">
        <w:rPr>
          <w:rFonts w:asciiTheme="minorHAnsi" w:hAnsiTheme="minorHAnsi"/>
          <w:szCs w:val="22"/>
        </w:rPr>
        <w:t xml:space="preserve"> House </w:t>
      </w:r>
      <w:r w:rsidRPr="005920F7">
        <w:rPr>
          <w:rFonts w:asciiTheme="minorHAnsi" w:hAnsiTheme="minorHAnsi"/>
          <w:szCs w:val="22"/>
        </w:rPr>
        <w:t xml:space="preserve">is vital to achieving equity and equal opportunity. All discriminatory </w:t>
      </w:r>
      <w:proofErr w:type="spellStart"/>
      <w:r w:rsidRPr="005920F7">
        <w:rPr>
          <w:rFonts w:asciiTheme="minorHAnsi" w:hAnsiTheme="minorHAnsi"/>
          <w:szCs w:val="22"/>
        </w:rPr>
        <w:t>behaviour</w:t>
      </w:r>
      <w:proofErr w:type="spellEnd"/>
      <w:r w:rsidRPr="005920F7">
        <w:rPr>
          <w:rFonts w:asciiTheme="minorHAnsi" w:hAnsiTheme="minorHAnsi"/>
          <w:szCs w:val="22"/>
        </w:rPr>
        <w:t xml:space="preserve"> is undesirable, may be unlawful, and will not be cond</w:t>
      </w:r>
      <w:r w:rsidR="0057581A">
        <w:rPr>
          <w:rFonts w:asciiTheme="minorHAnsi" w:hAnsiTheme="minorHAnsi"/>
          <w:szCs w:val="22"/>
        </w:rPr>
        <w:t xml:space="preserve">oned in any way at the XXXX </w:t>
      </w:r>
      <w:proofErr w:type="spellStart"/>
      <w:r w:rsidR="0057581A">
        <w:rPr>
          <w:rFonts w:asciiTheme="minorHAnsi" w:hAnsiTheme="minorHAnsi"/>
          <w:szCs w:val="22"/>
        </w:rPr>
        <w:t>Neighbourhood</w:t>
      </w:r>
      <w:proofErr w:type="spellEnd"/>
      <w:r w:rsidR="0057581A">
        <w:rPr>
          <w:rFonts w:asciiTheme="minorHAnsi" w:hAnsiTheme="minorHAnsi"/>
          <w:szCs w:val="22"/>
        </w:rPr>
        <w:t xml:space="preserve"> House.</w:t>
      </w: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2307EE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2pt;margin-top:1pt;width:336pt;height:173.45pt;z-index:251658240">
            <v:textbox>
              <w:txbxContent>
                <w:p w:rsidR="00A609D5" w:rsidRPr="005920F7" w:rsidRDefault="00A609D5" w:rsidP="00A609D5">
                  <w:pPr>
                    <w:rPr>
                      <w:rFonts w:asciiTheme="minorHAnsi" w:hAnsiTheme="minorHAnsi"/>
                    </w:rPr>
                  </w:pPr>
                  <w:r w:rsidRPr="005920F7">
                    <w:rPr>
                      <w:rFonts w:asciiTheme="minorHAnsi" w:hAnsiTheme="minorHAnsi"/>
                    </w:rPr>
                    <w:t xml:space="preserve">In </w:t>
                  </w:r>
                  <w:smartTag w:uri="urn:schemas-microsoft-com:office:smarttags" w:element="place">
                    <w:smartTag w:uri="urn:schemas-microsoft-com:office:smarttags" w:element="State">
                      <w:r w:rsidRPr="005920F7">
                        <w:rPr>
                          <w:rFonts w:asciiTheme="minorHAnsi" w:hAnsiTheme="minorHAnsi"/>
                        </w:rPr>
                        <w:t>Victoria</w:t>
                      </w:r>
                    </w:smartTag>
                  </w:smartTag>
                  <w:r w:rsidRPr="005920F7">
                    <w:rPr>
                      <w:rFonts w:asciiTheme="minorHAnsi" w:hAnsiTheme="minorHAnsi"/>
                    </w:rPr>
                    <w:t>, discrimination is unlawful under the –</w:t>
                  </w:r>
                </w:p>
                <w:p w:rsidR="00A609D5" w:rsidRPr="005920F7" w:rsidRDefault="002307EE" w:rsidP="00A609D5">
                  <w:pPr>
                    <w:pStyle w:val="BulletIndent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</w:rPr>
                  </w:pPr>
                  <w:hyperlink r:id="rId8" w:history="1">
                    <w:r w:rsidR="00A609D5" w:rsidRPr="005920F7">
                      <w:rPr>
                        <w:rStyle w:val="Hyperlink"/>
                        <w:rFonts w:asciiTheme="minorHAnsi" w:hAnsiTheme="minorHAnsi"/>
                        <w:szCs w:val="20"/>
                      </w:rPr>
                      <w:t>Racial Discrimination Act 1975</w:t>
                    </w:r>
                  </w:hyperlink>
                  <w:r w:rsidR="00A609D5" w:rsidRPr="005920F7">
                    <w:rPr>
                      <w:rFonts w:asciiTheme="minorHAnsi" w:hAnsiTheme="minorHAnsi"/>
                    </w:rPr>
                    <w:t xml:space="preserve">, </w:t>
                  </w:r>
                  <w:hyperlink r:id="rId9" w:history="1">
                    <w:r w:rsidR="00A609D5" w:rsidRPr="005920F7">
                      <w:rPr>
                        <w:rStyle w:val="Hyperlink"/>
                        <w:rFonts w:asciiTheme="minorHAnsi" w:hAnsiTheme="minorHAnsi"/>
                        <w:szCs w:val="20"/>
                      </w:rPr>
                      <w:t>Sex Discrimination Act 1984</w:t>
                    </w:r>
                  </w:hyperlink>
                  <w:r w:rsidR="00A609D5" w:rsidRPr="005920F7">
                    <w:rPr>
                      <w:rFonts w:asciiTheme="minorHAnsi" w:hAnsiTheme="minorHAnsi"/>
                    </w:rPr>
                    <w:t>,</w:t>
                  </w:r>
                </w:p>
                <w:p w:rsidR="00A609D5" w:rsidRPr="005920F7" w:rsidRDefault="002307EE" w:rsidP="00A609D5">
                  <w:pPr>
                    <w:pStyle w:val="BulletIndent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</w:rPr>
                  </w:pPr>
                  <w:hyperlink r:id="rId10" w:history="1">
                    <w:r w:rsidR="00A609D5" w:rsidRPr="005920F7">
                      <w:rPr>
                        <w:rStyle w:val="Hyperlink"/>
                        <w:rFonts w:asciiTheme="minorHAnsi" w:hAnsiTheme="minorHAnsi"/>
                        <w:szCs w:val="20"/>
                      </w:rPr>
                      <w:t>Disability Discrimination Act 1992</w:t>
                    </w:r>
                  </w:hyperlink>
                  <w:r w:rsidR="00A609D5" w:rsidRPr="005920F7">
                    <w:rPr>
                      <w:rFonts w:asciiTheme="minorHAnsi" w:hAnsiTheme="minorHAnsi"/>
                    </w:rPr>
                    <w:t xml:space="preserve">,  </w:t>
                  </w:r>
                  <w:hyperlink r:id="rId11" w:history="1">
                    <w:r w:rsidR="00A609D5" w:rsidRPr="005920F7">
                      <w:rPr>
                        <w:rStyle w:val="Hyperlink"/>
                        <w:rFonts w:asciiTheme="minorHAnsi" w:hAnsiTheme="minorHAnsi"/>
                        <w:szCs w:val="20"/>
                      </w:rPr>
                      <w:t>Human Rights and Equal Opportunity Commission Act 1986</w:t>
                    </w:r>
                  </w:hyperlink>
                  <w:r w:rsidR="00A609D5" w:rsidRPr="005920F7">
                    <w:rPr>
                      <w:rFonts w:asciiTheme="minorHAnsi" w:hAnsiTheme="minorHAnsi"/>
                    </w:rPr>
                    <w:t>, Equal Opportunity Act 1995</w:t>
                  </w:r>
                </w:p>
                <w:p w:rsidR="00A609D5" w:rsidRPr="005920F7" w:rsidRDefault="00A609D5" w:rsidP="00A609D5">
                  <w:pPr>
                    <w:rPr>
                      <w:rFonts w:asciiTheme="minorHAnsi" w:hAnsiTheme="minorHAnsi"/>
                      <w:sz w:val="18"/>
                    </w:rPr>
                  </w:pPr>
                </w:p>
                <w:p w:rsidR="00A609D5" w:rsidRPr="005920F7" w:rsidRDefault="00A609D5" w:rsidP="00A609D5">
                  <w:pPr>
                    <w:rPr>
                      <w:rFonts w:asciiTheme="minorHAnsi" w:hAnsiTheme="minorHAnsi"/>
                    </w:rPr>
                  </w:pPr>
                  <w:r w:rsidRPr="005920F7">
                    <w:rPr>
                      <w:rFonts w:asciiTheme="minorHAnsi" w:hAnsiTheme="minorHAnsi"/>
                    </w:rPr>
                    <w:t>Discrimination is unlawful in the areas of employment, education, provisions of goods and services, and accommodation. Discrimination refers to actions based upon -</w:t>
                  </w:r>
                  <w:r w:rsidRPr="005920F7">
                    <w:rPr>
                      <w:rFonts w:asciiTheme="minorHAnsi" w:hAnsiTheme="minorHAnsi"/>
                    </w:rPr>
                    <w:br/>
                    <w:t xml:space="preserve">” gender, marital status, (defined as being single, married, de-facto, widowed or divorced), pregnancy, parenthood, race (including </w:t>
                  </w:r>
                  <w:proofErr w:type="spellStart"/>
                  <w:r w:rsidRPr="005920F7">
                    <w:rPr>
                      <w:rFonts w:asciiTheme="minorHAnsi" w:hAnsiTheme="minorHAnsi"/>
                    </w:rPr>
                    <w:t>colour</w:t>
                  </w:r>
                  <w:proofErr w:type="spellEnd"/>
                  <w:r w:rsidRPr="005920F7">
                    <w:rPr>
                      <w:rFonts w:asciiTheme="minorHAnsi" w:hAnsiTheme="minorHAnsi"/>
                    </w:rPr>
                    <w:t>, nationality, or ethnic origin), age, sexual preference, disability, religious or political conviction.”</w:t>
                  </w:r>
                </w:p>
              </w:txbxContent>
            </v:textbox>
          </v:shape>
        </w:pict>
      </w: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pStyle w:val="Heading1"/>
        <w:rPr>
          <w:rFonts w:asciiTheme="minorHAnsi" w:hAnsiTheme="minorHAnsi" w:cs="Arial"/>
          <w:sz w:val="22"/>
          <w:szCs w:val="22"/>
        </w:rPr>
      </w:pPr>
      <w:r w:rsidRPr="005920F7">
        <w:rPr>
          <w:rFonts w:asciiTheme="minorHAnsi" w:hAnsiTheme="minorHAnsi" w:cs="Arial"/>
          <w:sz w:val="22"/>
          <w:szCs w:val="22"/>
        </w:rPr>
        <w:lastRenderedPageBreak/>
        <w:t>POLICY</w:t>
      </w:r>
    </w:p>
    <w:p w:rsidR="00A609D5" w:rsidRPr="005920F7" w:rsidRDefault="0057581A" w:rsidP="00A609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XXXX </w:t>
      </w:r>
      <w:proofErr w:type="spellStart"/>
      <w:r>
        <w:rPr>
          <w:rFonts w:asciiTheme="minorHAnsi" w:hAnsiTheme="minorHAnsi"/>
          <w:szCs w:val="22"/>
        </w:rPr>
        <w:t>Neighbourhood</w:t>
      </w:r>
      <w:proofErr w:type="spellEnd"/>
      <w:r>
        <w:rPr>
          <w:rFonts w:asciiTheme="minorHAnsi" w:hAnsiTheme="minorHAnsi"/>
          <w:szCs w:val="22"/>
        </w:rPr>
        <w:t xml:space="preserve"> House </w:t>
      </w:r>
      <w:r w:rsidR="00A609D5" w:rsidRPr="005920F7">
        <w:rPr>
          <w:rFonts w:asciiTheme="minorHAnsi" w:hAnsiTheme="minorHAnsi"/>
          <w:szCs w:val="22"/>
        </w:rPr>
        <w:t xml:space="preserve">is an equal opportunity </w:t>
      </w:r>
      <w:proofErr w:type="spellStart"/>
      <w:r w:rsidR="00A609D5" w:rsidRPr="005920F7">
        <w:rPr>
          <w:rFonts w:asciiTheme="minorHAnsi" w:hAnsiTheme="minorHAnsi"/>
          <w:szCs w:val="22"/>
        </w:rPr>
        <w:t>organisation</w:t>
      </w:r>
      <w:proofErr w:type="spellEnd"/>
      <w:r w:rsidR="00A609D5" w:rsidRPr="005920F7">
        <w:rPr>
          <w:rFonts w:asciiTheme="minorHAnsi" w:hAnsiTheme="minorHAnsi"/>
          <w:szCs w:val="22"/>
        </w:rPr>
        <w:t xml:space="preserve"> committed to equity and access in the provision of its se</w:t>
      </w:r>
      <w:r w:rsidR="00A609D5">
        <w:rPr>
          <w:rFonts w:asciiTheme="minorHAnsi" w:hAnsiTheme="minorHAnsi"/>
          <w:szCs w:val="22"/>
        </w:rPr>
        <w:t xml:space="preserve">rvices and in employment. All </w:t>
      </w:r>
      <w:r w:rsidR="00A609D5" w:rsidRPr="005920F7">
        <w:rPr>
          <w:rFonts w:asciiTheme="minorHAnsi" w:hAnsiTheme="minorHAnsi"/>
          <w:szCs w:val="22"/>
        </w:rPr>
        <w:t xml:space="preserve">staff, students and volunteers of the </w:t>
      </w:r>
      <w:r>
        <w:rPr>
          <w:rFonts w:asciiTheme="minorHAnsi" w:hAnsiTheme="minorHAnsi"/>
          <w:szCs w:val="22"/>
        </w:rPr>
        <w:t xml:space="preserve">XXXX </w:t>
      </w:r>
      <w:proofErr w:type="spellStart"/>
      <w:r>
        <w:rPr>
          <w:rFonts w:asciiTheme="minorHAnsi" w:hAnsiTheme="minorHAnsi"/>
          <w:szCs w:val="22"/>
        </w:rPr>
        <w:t>Neighbourhood</w:t>
      </w:r>
      <w:proofErr w:type="spellEnd"/>
      <w:r>
        <w:rPr>
          <w:rFonts w:asciiTheme="minorHAnsi" w:hAnsiTheme="minorHAnsi"/>
          <w:szCs w:val="22"/>
        </w:rPr>
        <w:t xml:space="preserve"> House </w:t>
      </w:r>
      <w:r w:rsidR="00A609D5" w:rsidRPr="005920F7">
        <w:rPr>
          <w:rFonts w:asciiTheme="minorHAnsi" w:hAnsiTheme="minorHAnsi"/>
          <w:szCs w:val="22"/>
        </w:rPr>
        <w:t>have the right to an environment free from discrimination.</w:t>
      </w: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</w:p>
    <w:p w:rsidR="00A609D5" w:rsidRPr="005920F7" w:rsidRDefault="0057581A" w:rsidP="00A609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 volunteers </w:t>
      </w:r>
      <w:r w:rsidR="00A609D5" w:rsidRPr="005920F7">
        <w:rPr>
          <w:rFonts w:asciiTheme="minorHAnsi" w:hAnsiTheme="minorHAnsi"/>
          <w:szCs w:val="22"/>
        </w:rPr>
        <w:t>are entitled to access employment, promotion, training on the basis of merit, and will be assessed on the basis of their skills, qualifications, abilities, prior work performance and aptitudes.</w:t>
      </w: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  <w:r w:rsidRPr="005920F7">
        <w:rPr>
          <w:rFonts w:asciiTheme="minorHAnsi" w:hAnsiTheme="minorHAnsi"/>
          <w:szCs w:val="22"/>
        </w:rPr>
        <w:t xml:space="preserve">As an employer the </w:t>
      </w:r>
      <w:r w:rsidR="0057581A">
        <w:rPr>
          <w:rFonts w:asciiTheme="minorHAnsi" w:hAnsiTheme="minorHAnsi"/>
          <w:szCs w:val="22"/>
        </w:rPr>
        <w:t xml:space="preserve">XXXX </w:t>
      </w:r>
      <w:proofErr w:type="spellStart"/>
      <w:r w:rsidR="0057581A">
        <w:rPr>
          <w:rFonts w:asciiTheme="minorHAnsi" w:hAnsiTheme="minorHAnsi"/>
          <w:szCs w:val="22"/>
        </w:rPr>
        <w:t>Neighbourhood</w:t>
      </w:r>
      <w:proofErr w:type="spellEnd"/>
      <w:r w:rsidR="0057581A">
        <w:rPr>
          <w:rFonts w:asciiTheme="minorHAnsi" w:hAnsiTheme="minorHAnsi"/>
          <w:szCs w:val="22"/>
        </w:rPr>
        <w:t xml:space="preserve"> House </w:t>
      </w:r>
      <w:r w:rsidRPr="005920F7">
        <w:rPr>
          <w:rFonts w:asciiTheme="minorHAnsi" w:hAnsiTheme="minorHAnsi"/>
          <w:szCs w:val="22"/>
        </w:rPr>
        <w:t xml:space="preserve">will operate without any source of direct or indirect discrimination based on gender, marital status, (defined as being single, married, de-facto, widowed or divorced), pregnancy, parenthood, race (including </w:t>
      </w:r>
      <w:proofErr w:type="spellStart"/>
      <w:r w:rsidRPr="005920F7">
        <w:rPr>
          <w:rFonts w:asciiTheme="minorHAnsi" w:hAnsiTheme="minorHAnsi"/>
          <w:szCs w:val="22"/>
        </w:rPr>
        <w:t>colour</w:t>
      </w:r>
      <w:proofErr w:type="spellEnd"/>
      <w:r w:rsidRPr="005920F7">
        <w:rPr>
          <w:rFonts w:asciiTheme="minorHAnsi" w:hAnsiTheme="minorHAnsi"/>
          <w:szCs w:val="22"/>
        </w:rPr>
        <w:t>, nationality, or ethnic origin), age, sexual preference, disability, religious or political conviction.</w:t>
      </w: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</w:p>
    <w:p w:rsidR="00A609D5" w:rsidRPr="005920F7" w:rsidRDefault="0057581A" w:rsidP="00A609D5">
      <w:pPr>
        <w:rPr>
          <w:rFonts w:asciiTheme="minorHAnsi" w:hAnsiTheme="minorHAnsi"/>
          <w:b/>
          <w:bCs w:val="0"/>
          <w:szCs w:val="22"/>
        </w:rPr>
      </w:pPr>
      <w:r>
        <w:rPr>
          <w:rFonts w:asciiTheme="minorHAnsi" w:hAnsiTheme="minorHAnsi"/>
          <w:szCs w:val="22"/>
        </w:rPr>
        <w:t>Paid staff,</w:t>
      </w:r>
      <w:r w:rsidR="00A609D5" w:rsidRPr="005920F7">
        <w:rPr>
          <w:rFonts w:asciiTheme="minorHAnsi" w:hAnsiTheme="minorHAnsi"/>
          <w:szCs w:val="22"/>
        </w:rPr>
        <w:t xml:space="preserve"> Commit</w:t>
      </w:r>
      <w:r>
        <w:rPr>
          <w:rFonts w:asciiTheme="minorHAnsi" w:hAnsiTheme="minorHAnsi"/>
          <w:szCs w:val="22"/>
        </w:rPr>
        <w:t xml:space="preserve">tee members, students and </w:t>
      </w:r>
      <w:r w:rsidR="00A609D5" w:rsidRPr="005920F7">
        <w:rPr>
          <w:rFonts w:asciiTheme="minorHAnsi" w:hAnsiTheme="minorHAnsi"/>
          <w:szCs w:val="22"/>
        </w:rPr>
        <w:t xml:space="preserve">volunteers are expected to take responsibility for behaving in fair and non-discriminatory ways themselves, and to actively discourage any form of discrimination they may encounter at the </w:t>
      </w:r>
      <w:r>
        <w:rPr>
          <w:rFonts w:asciiTheme="minorHAnsi" w:hAnsiTheme="minorHAnsi"/>
          <w:szCs w:val="22"/>
        </w:rPr>
        <w:t xml:space="preserve">XXXX </w:t>
      </w:r>
      <w:proofErr w:type="spellStart"/>
      <w:r>
        <w:rPr>
          <w:rFonts w:asciiTheme="minorHAnsi" w:hAnsiTheme="minorHAnsi"/>
          <w:szCs w:val="22"/>
        </w:rPr>
        <w:t>Neighbourhood</w:t>
      </w:r>
      <w:proofErr w:type="spellEnd"/>
      <w:r>
        <w:rPr>
          <w:rFonts w:asciiTheme="minorHAnsi" w:hAnsiTheme="minorHAnsi"/>
          <w:szCs w:val="22"/>
        </w:rPr>
        <w:t xml:space="preserve"> House.</w:t>
      </w:r>
    </w:p>
    <w:p w:rsidR="00A609D5" w:rsidRPr="005920F7" w:rsidRDefault="00A609D5" w:rsidP="00A609D5">
      <w:pPr>
        <w:rPr>
          <w:rFonts w:asciiTheme="minorHAnsi" w:hAnsiTheme="minorHAnsi"/>
          <w:b/>
          <w:bCs w:val="0"/>
          <w:szCs w:val="22"/>
        </w:rPr>
      </w:pPr>
    </w:p>
    <w:p w:rsidR="00A609D5" w:rsidRPr="005920F7" w:rsidRDefault="00A609D5" w:rsidP="00A609D5">
      <w:pPr>
        <w:rPr>
          <w:rFonts w:asciiTheme="minorHAnsi" w:hAnsiTheme="minorHAnsi"/>
          <w:b/>
          <w:bCs w:val="0"/>
          <w:szCs w:val="22"/>
        </w:rPr>
      </w:pPr>
      <w:r w:rsidRPr="005920F7">
        <w:rPr>
          <w:rFonts w:asciiTheme="minorHAnsi" w:hAnsiTheme="minorHAnsi"/>
          <w:szCs w:val="22"/>
        </w:rPr>
        <w:t>The Equal Oppor</w:t>
      </w:r>
      <w:r w:rsidR="0057581A">
        <w:rPr>
          <w:rFonts w:asciiTheme="minorHAnsi" w:hAnsiTheme="minorHAnsi"/>
          <w:szCs w:val="22"/>
        </w:rPr>
        <w:t>tunity Act is applicable to all staff - paid and unpaid</w:t>
      </w:r>
      <w:r w:rsidRPr="005920F7">
        <w:rPr>
          <w:rFonts w:asciiTheme="minorHAnsi" w:hAnsiTheme="minorHAnsi"/>
          <w:szCs w:val="22"/>
        </w:rPr>
        <w:t>.</w:t>
      </w: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rPr>
          <w:rFonts w:asciiTheme="minorHAnsi" w:hAnsiTheme="minorHAnsi"/>
          <w:b/>
          <w:bCs w:val="0"/>
          <w:szCs w:val="22"/>
        </w:rPr>
      </w:pPr>
    </w:p>
    <w:p w:rsidR="00A609D5" w:rsidRPr="005920F7" w:rsidRDefault="00A609D5" w:rsidP="00A609D5">
      <w:pPr>
        <w:rPr>
          <w:rFonts w:asciiTheme="minorHAnsi" w:hAnsiTheme="minorHAnsi"/>
          <w:b/>
          <w:bCs w:val="0"/>
          <w:szCs w:val="22"/>
        </w:rPr>
      </w:pPr>
      <w:r w:rsidRPr="005920F7">
        <w:rPr>
          <w:rFonts w:asciiTheme="minorHAnsi" w:hAnsiTheme="minorHAnsi"/>
          <w:b/>
          <w:szCs w:val="22"/>
        </w:rPr>
        <w:t>PROCEDURES</w:t>
      </w:r>
    </w:p>
    <w:p w:rsidR="00A609D5" w:rsidRPr="005920F7" w:rsidRDefault="00A609D5" w:rsidP="00A609D5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2"/>
        </w:rPr>
      </w:pPr>
      <w:r w:rsidRPr="005920F7">
        <w:rPr>
          <w:rFonts w:asciiTheme="minorHAnsi" w:hAnsiTheme="minorHAnsi"/>
          <w:szCs w:val="22"/>
        </w:rPr>
        <w:t xml:space="preserve">All human relations policies and practices at the </w:t>
      </w:r>
      <w:r w:rsidR="0057581A">
        <w:rPr>
          <w:rFonts w:asciiTheme="minorHAnsi" w:hAnsiTheme="minorHAnsi"/>
          <w:szCs w:val="22"/>
        </w:rPr>
        <w:t xml:space="preserve">XXXX </w:t>
      </w:r>
      <w:proofErr w:type="spellStart"/>
      <w:r w:rsidR="0057581A">
        <w:rPr>
          <w:rFonts w:asciiTheme="minorHAnsi" w:hAnsiTheme="minorHAnsi"/>
          <w:szCs w:val="22"/>
        </w:rPr>
        <w:t>Neighbourhood</w:t>
      </w:r>
      <w:proofErr w:type="spellEnd"/>
      <w:r w:rsidR="0057581A">
        <w:rPr>
          <w:rFonts w:asciiTheme="minorHAnsi" w:hAnsiTheme="minorHAnsi"/>
          <w:szCs w:val="22"/>
        </w:rPr>
        <w:t xml:space="preserve"> House </w:t>
      </w:r>
      <w:r w:rsidRPr="005920F7">
        <w:rPr>
          <w:rFonts w:asciiTheme="minorHAnsi" w:hAnsiTheme="minorHAnsi"/>
          <w:szCs w:val="22"/>
        </w:rPr>
        <w:t>be based on the merit principle</w:t>
      </w: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</w:p>
    <w:p w:rsidR="00A609D5" w:rsidRPr="005920F7" w:rsidRDefault="0057581A" w:rsidP="00A609D5">
      <w:pPr>
        <w:numPr>
          <w:ilvl w:val="0"/>
          <w:numId w:val="1"/>
        </w:numPr>
        <w:spacing w:line="240" w:lineRule="auto"/>
        <w:rPr>
          <w:rFonts w:asciiTheme="minorHAnsi" w:hAnsiTheme="minorHAnsi"/>
          <w:spacing w:val="-3"/>
          <w:szCs w:val="22"/>
        </w:rPr>
      </w:pPr>
      <w:r>
        <w:rPr>
          <w:rFonts w:asciiTheme="minorHAnsi" w:hAnsiTheme="minorHAnsi"/>
          <w:szCs w:val="22"/>
        </w:rPr>
        <w:t xml:space="preserve">Every employee, </w:t>
      </w:r>
      <w:r w:rsidR="00A609D5" w:rsidRPr="005920F7">
        <w:rPr>
          <w:rFonts w:asciiTheme="minorHAnsi" w:hAnsiTheme="minorHAnsi"/>
          <w:szCs w:val="22"/>
        </w:rPr>
        <w:t>Committee member, student, and volunteer has a personal responsibility to trea</w:t>
      </w:r>
      <w:r>
        <w:rPr>
          <w:rFonts w:asciiTheme="minorHAnsi" w:hAnsiTheme="minorHAnsi"/>
          <w:szCs w:val="22"/>
        </w:rPr>
        <w:t>t all other employees,</w:t>
      </w:r>
      <w:r w:rsidR="00A609D5" w:rsidRPr="005920F7">
        <w:rPr>
          <w:rFonts w:asciiTheme="minorHAnsi" w:hAnsiTheme="minorHAnsi"/>
          <w:szCs w:val="22"/>
        </w:rPr>
        <w:t xml:space="preserve"> Committee members, students and volunteers who have contact with the </w:t>
      </w:r>
      <w:proofErr w:type="spellStart"/>
      <w:r w:rsidR="00A609D5" w:rsidRPr="005920F7">
        <w:rPr>
          <w:rFonts w:asciiTheme="minorHAnsi" w:hAnsiTheme="minorHAnsi"/>
          <w:szCs w:val="22"/>
        </w:rPr>
        <w:t>organisation</w:t>
      </w:r>
      <w:proofErr w:type="spellEnd"/>
      <w:r w:rsidR="00A609D5" w:rsidRPr="005920F7">
        <w:rPr>
          <w:rFonts w:asciiTheme="minorHAnsi" w:hAnsiTheme="minorHAnsi"/>
          <w:szCs w:val="22"/>
        </w:rPr>
        <w:t xml:space="preserve"> with fairness and equality, so that the wo</w:t>
      </w:r>
      <w:r>
        <w:rPr>
          <w:rFonts w:asciiTheme="minorHAnsi" w:hAnsiTheme="minorHAnsi"/>
          <w:szCs w:val="22"/>
        </w:rPr>
        <w:t>rking environment is free from d</w:t>
      </w:r>
      <w:r w:rsidR="00A609D5" w:rsidRPr="005920F7">
        <w:rPr>
          <w:rFonts w:asciiTheme="minorHAnsi" w:hAnsiTheme="minorHAnsi"/>
          <w:szCs w:val="22"/>
        </w:rPr>
        <w:t xml:space="preserve">iscriminatory activities and practices. </w:t>
      </w:r>
    </w:p>
    <w:p w:rsidR="00A609D5" w:rsidRPr="005920F7" w:rsidRDefault="00A609D5" w:rsidP="00A609D5">
      <w:pPr>
        <w:rPr>
          <w:rFonts w:asciiTheme="minorHAnsi" w:hAnsiTheme="minorHAnsi"/>
          <w:spacing w:val="-3"/>
          <w:szCs w:val="22"/>
        </w:rPr>
      </w:pPr>
    </w:p>
    <w:p w:rsidR="00A609D5" w:rsidRPr="005920F7" w:rsidRDefault="00A609D5" w:rsidP="00A609D5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2"/>
        </w:rPr>
      </w:pPr>
      <w:r w:rsidRPr="005920F7">
        <w:rPr>
          <w:rFonts w:asciiTheme="minorHAnsi" w:hAnsiTheme="minorHAnsi"/>
          <w:szCs w:val="22"/>
        </w:rPr>
        <w:t xml:space="preserve">The </w:t>
      </w:r>
      <w:r w:rsidR="0057581A">
        <w:rPr>
          <w:rFonts w:asciiTheme="minorHAnsi" w:hAnsiTheme="minorHAnsi"/>
          <w:szCs w:val="22"/>
        </w:rPr>
        <w:t xml:space="preserve">XXXX </w:t>
      </w:r>
      <w:proofErr w:type="spellStart"/>
      <w:r w:rsidR="0057581A">
        <w:rPr>
          <w:rFonts w:asciiTheme="minorHAnsi" w:hAnsiTheme="minorHAnsi"/>
          <w:szCs w:val="22"/>
        </w:rPr>
        <w:t>Neighbourhood</w:t>
      </w:r>
      <w:proofErr w:type="spellEnd"/>
      <w:r w:rsidR="0057581A">
        <w:rPr>
          <w:rFonts w:asciiTheme="minorHAnsi" w:hAnsiTheme="minorHAnsi"/>
          <w:szCs w:val="22"/>
        </w:rPr>
        <w:t xml:space="preserve"> House </w:t>
      </w:r>
      <w:r w:rsidRPr="005920F7">
        <w:rPr>
          <w:rFonts w:asciiTheme="minorHAnsi" w:hAnsiTheme="minorHAnsi"/>
          <w:szCs w:val="22"/>
        </w:rPr>
        <w:t>may apply disciplinary action if an incident of discrimination has occurred</w:t>
      </w: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</w:p>
    <w:p w:rsidR="00A609D5" w:rsidRPr="005920F7" w:rsidRDefault="00A609D5" w:rsidP="00A609D5">
      <w:pPr>
        <w:rPr>
          <w:rFonts w:asciiTheme="minorHAnsi" w:hAnsiTheme="minorHAnsi"/>
          <w:szCs w:val="22"/>
        </w:rPr>
      </w:pPr>
    </w:p>
    <w:p w:rsidR="00F95D52" w:rsidRDefault="00F95D52" w:rsidP="00F95D52">
      <w:pPr>
        <w:pStyle w:val="NoSpacing"/>
        <w:spacing w:after="120"/>
      </w:pPr>
    </w:p>
    <w:p w:rsidR="00060F6C" w:rsidRDefault="00060F6C" w:rsidP="00060F6C">
      <w:pPr>
        <w:spacing w:after="120"/>
        <w:jc w:val="both"/>
        <w:rPr>
          <w:rFonts w:asciiTheme="minorHAnsi" w:hAnsiTheme="minorHAnsi"/>
          <w:b/>
          <w:szCs w:val="22"/>
        </w:rPr>
      </w:pPr>
    </w:p>
    <w:p w:rsidR="00F95D52" w:rsidRDefault="00F95D52" w:rsidP="00F95D52">
      <w:pPr>
        <w:pStyle w:val="NoSpacing"/>
        <w:spacing w:after="120"/>
      </w:pPr>
    </w:p>
    <w:sectPr w:rsidR="00F95D52" w:rsidSect="00F9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E5" w:rsidRDefault="006140E5" w:rsidP="00F95D52">
      <w:pPr>
        <w:spacing w:line="240" w:lineRule="auto"/>
      </w:pPr>
      <w:r>
        <w:separator/>
      </w:r>
    </w:p>
  </w:endnote>
  <w:endnote w:type="continuationSeparator" w:id="0">
    <w:p w:rsidR="006140E5" w:rsidRDefault="006140E5" w:rsidP="00F95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E" w:rsidRDefault="002307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E" w:rsidRPr="002307EE" w:rsidRDefault="002307EE" w:rsidP="002307EE">
    <w:pPr>
      <w:pStyle w:val="Footer"/>
      <w:jc w:val="right"/>
      <w:rPr>
        <w:color w:val="E36C0A" w:themeColor="accent6" w:themeShade="BF"/>
      </w:rPr>
    </w:pPr>
    <w:bookmarkStart w:id="0" w:name="_GoBack"/>
    <w:proofErr w:type="spellStart"/>
    <w:r w:rsidRPr="002307EE">
      <w:rPr>
        <w:color w:val="E36C0A" w:themeColor="accent6" w:themeShade="BF"/>
      </w:rPr>
      <w:t>Neighbourhood</w:t>
    </w:r>
    <w:proofErr w:type="spellEnd"/>
    <w:r w:rsidRPr="002307EE">
      <w:rPr>
        <w:color w:val="E36C0A" w:themeColor="accent6" w:themeShade="BF"/>
      </w:rPr>
      <w:t xml:space="preserve"> Houses </w:t>
    </w:r>
    <w:proofErr w:type="spellStart"/>
    <w:r w:rsidRPr="002307EE">
      <w:rPr>
        <w:color w:val="E36C0A" w:themeColor="accent6" w:themeShade="BF"/>
      </w:rPr>
      <w:t>Barwon</w:t>
    </w:r>
    <w:proofErr w:type="spellEnd"/>
    <w:r w:rsidRPr="002307EE">
      <w:rPr>
        <w:color w:val="E36C0A" w:themeColor="accent6" w:themeShade="BF"/>
      </w:rPr>
      <w:t xml:space="preserve"> – Volunteer Management Toolkit (2018/2019)</w:t>
    </w:r>
  </w:p>
  <w:bookmarkEnd w:id="0"/>
  <w:p w:rsidR="00F95D52" w:rsidRDefault="00F95D52">
    <w:pPr>
      <w:pStyle w:val="Footer"/>
    </w:pPr>
  </w:p>
  <w:p w:rsidR="00F95D52" w:rsidRDefault="002307EE">
    <w:pPr>
      <w:pStyle w:val="Footer"/>
    </w:pPr>
    <w:r>
      <w:pict>
        <v:rect id="_x0000_i1025" style="width:0;height:1.5pt" o:hralign="center" o:hrstd="t" o:hr="t" fillcolor="#a0a0a0" stroked="f"/>
      </w:pict>
    </w:r>
  </w:p>
  <w:p w:rsidR="00F95D52" w:rsidRDefault="00F95D52">
    <w:pPr>
      <w:pStyle w:val="Footer"/>
    </w:pPr>
  </w:p>
  <w:p w:rsidR="00F95D52" w:rsidRDefault="00F95D52" w:rsidP="00F95D52">
    <w:pPr>
      <w:pStyle w:val="Footer"/>
      <w:jc w:val="right"/>
    </w:pPr>
    <w:r>
      <w:t xml:space="preserve">Page </w:t>
    </w:r>
    <w:r w:rsidR="006140E5">
      <w:fldChar w:fldCharType="begin"/>
    </w:r>
    <w:r w:rsidR="006140E5">
      <w:instrText xml:space="preserve"> PAGE   \* MERGEFORMAT </w:instrText>
    </w:r>
    <w:r w:rsidR="006140E5">
      <w:fldChar w:fldCharType="separate"/>
    </w:r>
    <w:r w:rsidR="002307EE">
      <w:rPr>
        <w:noProof/>
      </w:rPr>
      <w:t>1</w:t>
    </w:r>
    <w:r w:rsidR="006140E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E" w:rsidRDefault="00230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E5" w:rsidRDefault="006140E5" w:rsidP="00F95D52">
      <w:pPr>
        <w:spacing w:line="240" w:lineRule="auto"/>
      </w:pPr>
      <w:r>
        <w:separator/>
      </w:r>
    </w:p>
  </w:footnote>
  <w:footnote w:type="continuationSeparator" w:id="0">
    <w:p w:rsidR="006140E5" w:rsidRDefault="006140E5" w:rsidP="00F95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E" w:rsidRDefault="002307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52" w:rsidRPr="002307EE" w:rsidRDefault="0057581A">
    <w:pPr>
      <w:pStyle w:val="Header"/>
      <w:rPr>
        <w:color w:val="E36C0A" w:themeColor="accent6" w:themeShade="BF"/>
        <w:sz w:val="28"/>
        <w:szCs w:val="28"/>
      </w:rPr>
    </w:pPr>
    <w:r>
      <w:rPr>
        <w:noProof/>
        <w:lang w:val="en-AU" w:eastAsia="en-AU"/>
      </w:rPr>
      <w:drawing>
        <wp:inline distT="0" distB="0" distL="0" distR="0" wp14:anchorId="2A78F18D" wp14:editId="7CD77BD9">
          <wp:extent cx="1740408" cy="155448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408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07EE">
      <w:tab/>
    </w:r>
    <w:r w:rsidR="002307EE">
      <w:tab/>
    </w:r>
    <w:r w:rsidR="002307EE" w:rsidRPr="002307EE">
      <w:rPr>
        <w:color w:val="E36C0A" w:themeColor="accent6" w:themeShade="BF"/>
        <w:sz w:val="28"/>
        <w:szCs w:val="28"/>
      </w:rPr>
      <w:t>Appendix I  - Equal Opportunity Policy</w:t>
    </w:r>
  </w:p>
  <w:p w:rsidR="00F95D52" w:rsidRPr="002307EE" w:rsidRDefault="00F95D52">
    <w:pPr>
      <w:pStyle w:val="Header"/>
      <w:rPr>
        <w:color w:val="E36C0A" w:themeColor="accent6" w:themeShade="BF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E" w:rsidRDefault="00230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4262"/>
    <w:multiLevelType w:val="hybridMultilevel"/>
    <w:tmpl w:val="BE543830"/>
    <w:lvl w:ilvl="0" w:tplc="FC169312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eastAsia="Times New Roman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059D4"/>
    <w:multiLevelType w:val="hybridMultilevel"/>
    <w:tmpl w:val="131C9012"/>
    <w:lvl w:ilvl="0" w:tplc="00000000">
      <w:start w:val="1"/>
      <w:numFmt w:val="bullet"/>
      <w:pStyle w:val="BulletInden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52"/>
    <w:rsid w:val="00060F6C"/>
    <w:rsid w:val="00194AFD"/>
    <w:rsid w:val="002307EE"/>
    <w:rsid w:val="00257582"/>
    <w:rsid w:val="003D4F80"/>
    <w:rsid w:val="0057581A"/>
    <w:rsid w:val="006140E5"/>
    <w:rsid w:val="00772FD7"/>
    <w:rsid w:val="008B2C9A"/>
    <w:rsid w:val="008D59DD"/>
    <w:rsid w:val="00A609D5"/>
    <w:rsid w:val="00C3007C"/>
    <w:rsid w:val="00DA4CF1"/>
    <w:rsid w:val="00F95D52"/>
    <w:rsid w:val="00F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52"/>
    <w:pPr>
      <w:spacing w:after="0" w:line="288" w:lineRule="auto"/>
    </w:pPr>
    <w:rPr>
      <w:rFonts w:ascii="Calibri" w:eastAsia="Calibri" w:hAnsi="Calibri" w:cs="Arial"/>
      <w:bCs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D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5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D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5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D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9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D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52"/>
    <w:rPr>
      <w:rFonts w:ascii="Tahoma" w:eastAsia="Calibri" w:hAnsi="Tahoma" w:cs="Tahoma"/>
      <w:bCs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F95D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95D52"/>
    <w:rPr>
      <w:rFonts w:ascii="Calibri" w:eastAsia="Calibri" w:hAnsi="Calibri" w:cs="Arial"/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5D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52"/>
    <w:rPr>
      <w:rFonts w:ascii="Calibri" w:eastAsia="Calibri" w:hAnsi="Calibri" w:cs="Arial"/>
      <w:bCs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060F6C"/>
    <w:pPr>
      <w:spacing w:after="120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60F6C"/>
    <w:rPr>
      <w:rFonts w:ascii="Times New Roman" w:eastAsia="Times New Roman" w:hAnsi="Times New Roman" w:cs="Times New Roman"/>
      <w:sz w:val="24"/>
      <w:szCs w:val="24"/>
      <w:lang w:val="en-GB" w:eastAsia="en-AU"/>
    </w:rPr>
  </w:style>
  <w:style w:type="paragraph" w:customStyle="1" w:styleId="BulletIndent">
    <w:name w:val="Bullet Indent"/>
    <w:basedOn w:val="Normal"/>
    <w:rsid w:val="00A609D5"/>
    <w:pPr>
      <w:numPr>
        <w:numId w:val="2"/>
      </w:numPr>
      <w:spacing w:line="240" w:lineRule="auto"/>
    </w:pPr>
    <w:rPr>
      <w:rFonts w:ascii="Tahoma" w:eastAsia="Times New Roman" w:hAnsi="Tahoma" w:cs="Tahoma"/>
      <w:bCs w:val="0"/>
      <w:szCs w:val="24"/>
    </w:rPr>
  </w:style>
  <w:style w:type="character" w:styleId="Hyperlink">
    <w:name w:val="Hyperlink"/>
    <w:rsid w:val="00A60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eoc.gov.au/about_the_commission/legislation/index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reoc.gov.au/about_the_commission/legislation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reoc.gov.au/about_the_commission/legislation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eoc.gov.au/about_the_commission/legislation/index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Bethdavo</dc:creator>
  <cp:lastModifiedBy>Renee Williams (DHHS)</cp:lastModifiedBy>
  <cp:revision>4</cp:revision>
  <dcterms:created xsi:type="dcterms:W3CDTF">2016-02-23T00:44:00Z</dcterms:created>
  <dcterms:modified xsi:type="dcterms:W3CDTF">2019-01-15T06:31:00Z</dcterms:modified>
</cp:coreProperties>
</file>